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ED" w:rsidRPr="00BC1A0F" w:rsidRDefault="00C7123C" w:rsidP="00C7123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C1A0F">
        <w:rPr>
          <w:rFonts w:ascii="Times New Roman" w:hAnsi="Times New Roman" w:cs="Times New Roman"/>
          <w:sz w:val="24"/>
          <w:szCs w:val="24"/>
        </w:rPr>
        <w:t>Operat</w:t>
      </w:r>
      <w:r w:rsidR="00DD3A94">
        <w:rPr>
          <w:rFonts w:ascii="Times New Roman" w:hAnsi="Times New Roman" w:cs="Times New Roman"/>
          <w:sz w:val="24"/>
          <w:szCs w:val="24"/>
        </w:rPr>
        <w:t>I</w:t>
      </w:r>
      <w:r w:rsidRPr="00BC1A0F">
        <w:rPr>
          <w:rFonts w:ascii="Times New Roman" w:hAnsi="Times New Roman" w:cs="Times New Roman"/>
          <w:sz w:val="24"/>
          <w:szCs w:val="24"/>
        </w:rPr>
        <w:t>onal and Workplace Guidance in Response to Novel Coronavirus</w:t>
      </w:r>
    </w:p>
    <w:p w:rsidR="00C7123C" w:rsidRDefault="00C7123C" w:rsidP="00C7123C">
      <w:pPr>
        <w:rPr>
          <w:rFonts w:ascii="Times New Roman" w:hAnsi="Times New Roman" w:cs="Times New Roman"/>
          <w:sz w:val="24"/>
          <w:szCs w:val="24"/>
        </w:rPr>
      </w:pPr>
    </w:p>
    <w:p w:rsidR="00F50BF1" w:rsidRPr="00BC1A0F" w:rsidRDefault="00F50BF1" w:rsidP="00C7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below provide</w:t>
      </w:r>
      <w:r w:rsidR="00A26B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state agencies</w:t>
      </w:r>
      <w:r w:rsidR="00C555D4">
        <w:rPr>
          <w:rFonts w:ascii="Times New Roman" w:hAnsi="Times New Roman" w:cs="Times New Roman"/>
          <w:sz w:val="24"/>
          <w:szCs w:val="24"/>
        </w:rPr>
        <w:t>, board</w:t>
      </w:r>
      <w:r w:rsidR="00EF1D05">
        <w:rPr>
          <w:rFonts w:ascii="Times New Roman" w:hAnsi="Times New Roman" w:cs="Times New Roman"/>
          <w:sz w:val="24"/>
          <w:szCs w:val="24"/>
        </w:rPr>
        <w:t>s</w:t>
      </w:r>
      <w:r w:rsidR="00C555D4">
        <w:rPr>
          <w:rFonts w:ascii="Times New Roman" w:hAnsi="Times New Roman" w:cs="Times New Roman"/>
          <w:sz w:val="24"/>
          <w:szCs w:val="24"/>
        </w:rPr>
        <w:t xml:space="preserve"> and commissions</w:t>
      </w:r>
      <w:r>
        <w:rPr>
          <w:rFonts w:ascii="Times New Roman" w:hAnsi="Times New Roman" w:cs="Times New Roman"/>
          <w:sz w:val="24"/>
          <w:szCs w:val="24"/>
        </w:rPr>
        <w:t xml:space="preserve"> with guidelines </w:t>
      </w:r>
      <w:r w:rsidR="00C555D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prepar</w:t>
      </w:r>
      <w:r w:rsidR="00C555D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and respond</w:t>
      </w:r>
      <w:r w:rsidR="00C555D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issues and questions related to the </w:t>
      </w:r>
      <w:r w:rsidR="00924F12"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sz w:val="24"/>
          <w:szCs w:val="24"/>
        </w:rPr>
        <w:t xml:space="preserve">coronavirus (COVID-19). </w:t>
      </w:r>
      <w:r w:rsidR="00C555D4">
        <w:rPr>
          <w:rFonts w:ascii="Times New Roman" w:hAnsi="Times New Roman" w:cs="Times New Roman"/>
          <w:sz w:val="24"/>
          <w:szCs w:val="24"/>
        </w:rPr>
        <w:t>These guidelines will be adjusted a</w:t>
      </w:r>
      <w:r w:rsidR="00924F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continue to learn more about the spread and impacts of COVID-19.  </w:t>
      </w:r>
    </w:p>
    <w:p w:rsidR="00B30256" w:rsidRPr="00BC1A0F" w:rsidRDefault="00056022" w:rsidP="00B30256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 w:rsidRPr="00BC1A0F">
        <w:rPr>
          <w:rFonts w:ascii="Times New Roman" w:hAnsi="Times New Roman" w:cs="Times New Roman"/>
          <w:szCs w:val="24"/>
        </w:rPr>
        <w:t>Steps to take regarding daily office operations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1"/>
        <w:gridCol w:w="9339"/>
      </w:tblGrid>
      <w:tr w:rsidR="00B30256" w:rsidRPr="00BC1A0F" w:rsidTr="00B3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B30256" w:rsidRPr="00BC1A0F" w:rsidRDefault="00B30256" w:rsidP="00CE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pct"/>
          </w:tcPr>
          <w:p w:rsidR="00615B0E" w:rsidRPr="00BC1A0F" w:rsidRDefault="00A26BC0" w:rsidP="00615B0E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</w:t>
            </w:r>
            <w:r w:rsidR="00B30256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anagers and supervisors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must </w:t>
            </w:r>
            <w:r w:rsidR="00B30256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>encourag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e</w:t>
            </w:r>
            <w:r w:rsidR="00B30256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em</w:t>
            </w:r>
            <w:r w:rsidR="00615B0E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ployees to remain home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when they are </w:t>
            </w:r>
            <w:r w:rsidR="00615B0E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>sick.</w:t>
            </w:r>
            <w:r w:rsid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15B0E" w:rsidRPr="00F50BF1" w:rsidRDefault="00615B0E" w:rsidP="00F50BF1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>Take steps to maximize telework options for as many employees as possible.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>tate organizations with employees in the King and Snohomish counties should have employees work remotely, if possible</w:t>
            </w:r>
            <w:r w:rsidR="00C555D4">
              <w:rPr>
                <w:rFonts w:ascii="Times New Roman" w:hAnsi="Times New Roman" w:cs="Times New Roman"/>
                <w:i w:val="0"/>
                <w:sz w:val="24"/>
                <w:szCs w:val="24"/>
              </w:rPr>
              <w:t>, at this time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9D3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For employees who do not ordinarily telecommute, ask supervisors to identify tasks that employees 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>can</w:t>
            </w:r>
            <w:r w:rsidRP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do remotely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or 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provide 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alternative options for telecommuting, </w:t>
            </w:r>
            <w:r w:rsidRP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if circumstances later necessitate an expansion of telework. </w:t>
            </w:r>
          </w:p>
          <w:p w:rsidR="00615B0E" w:rsidRPr="00BC1A0F" w:rsidRDefault="00615B0E" w:rsidP="00615B0E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For areas where 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state </w:t>
            </w: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employees significantly rely on mass transit options, please 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>consider options for</w:t>
            </w: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adjusting start and end </w:t>
            </w:r>
            <w:r w:rsidR="00BA62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work </w:t>
            </w: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times so that the number of employees using transit simultaneously is reduced. </w:t>
            </w:r>
          </w:p>
          <w:p w:rsidR="00B30256" w:rsidRPr="00E2480F" w:rsidRDefault="00056022" w:rsidP="009D3510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Ensure each of your worksites are taking steps to maintain high environmental hygiene standards by cleaning surfaces with EPA-approved environmental disinfectants. </w:t>
            </w:r>
            <w:r w:rsidR="009D3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In particular, routinely clean all frequently touched surfaces in the workplace, such as workstations, countertops and doorknobs. If feasible, provide disposable 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disinfectant </w:t>
            </w:r>
            <w:r w:rsidR="009D3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wipes so that commonly used services can be wiped down </w:t>
            </w:r>
            <w:r w:rsidR="00D34668">
              <w:rPr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r w:rsidR="009D3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y employees before each use. </w:t>
            </w:r>
            <w:r w:rsidR="00615B0E" w:rsidRPr="00BC1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B4FA0" w:rsidRPr="00BC1A0F" w:rsidRDefault="006B4FA0" w:rsidP="00EF1D05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For agencies with regular public interface, post signs </w:t>
            </w:r>
            <w:r w:rsidR="00EF1D0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and resources to address non-pharmaceutical interventions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and consider further efforts to mitigate exposure, especially f</w:t>
            </w:r>
            <w:r w:rsidR="00EF1D0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or individuals showing symptoms. Click </w:t>
            </w:r>
            <w:hyperlink r:id="rId7" w:history="1">
              <w:r w:rsidR="00EF1D05" w:rsidRPr="00EF1D05">
                <w:rPr>
                  <w:rStyle w:val="Hyperlink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here</w:t>
              </w:r>
            </w:hyperlink>
            <w:r w:rsidR="00EF1D0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to view resources.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B30256" w:rsidRPr="00BC1A0F" w:rsidRDefault="00B30256" w:rsidP="00B30256">
      <w:pPr>
        <w:rPr>
          <w:rFonts w:ascii="Times New Roman" w:hAnsi="Times New Roman" w:cs="Times New Roman"/>
          <w:sz w:val="24"/>
          <w:szCs w:val="24"/>
        </w:rPr>
      </w:pPr>
    </w:p>
    <w:p w:rsidR="00056022" w:rsidRPr="00BC1A0F" w:rsidRDefault="004E6BBD" w:rsidP="00056022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Conferences, </w:t>
      </w:r>
      <w:r w:rsidR="00056022" w:rsidRPr="00BC1A0F">
        <w:rPr>
          <w:rFonts w:ascii="Times New Roman" w:hAnsi="Times New Roman" w:cs="Times New Roman"/>
          <w:szCs w:val="24"/>
        </w:rPr>
        <w:t xml:space="preserve">Meetings and </w:t>
      </w:r>
      <w:r w:rsidRPr="00BC1A0F">
        <w:rPr>
          <w:rFonts w:ascii="Times New Roman" w:hAnsi="Times New Roman" w:cs="Times New Roman"/>
          <w:szCs w:val="24"/>
        </w:rPr>
        <w:t>business-related</w:t>
      </w:r>
      <w:r w:rsidR="00056022" w:rsidRPr="00BC1A0F">
        <w:rPr>
          <w:rFonts w:ascii="Times New Roman" w:hAnsi="Times New Roman" w:cs="Times New Roman"/>
          <w:szCs w:val="24"/>
        </w:rPr>
        <w:t xml:space="preserve"> gatherings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1"/>
        <w:gridCol w:w="9339"/>
      </w:tblGrid>
      <w:tr w:rsidR="00056022" w:rsidRPr="00BC1A0F" w:rsidTr="0005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056022" w:rsidRPr="00BC1A0F" w:rsidRDefault="00056022" w:rsidP="00CE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pct"/>
          </w:tcPr>
          <w:p w:rsidR="00E2480F" w:rsidRDefault="004E6BBD" w:rsidP="004E6BBD">
            <w:pPr>
              <w:pStyle w:val="ListParagraph"/>
              <w:numPr>
                <w:ilvl w:val="0"/>
                <w:numId w:val="19"/>
              </w:numPr>
              <w:spacing w:before="100" w:beforeAutospacing="1" w:after="22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Consider</w:t>
            </w:r>
            <w:r w:rsidR="00224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where possible</w:t>
            </w:r>
            <w:r w:rsidR="00BA6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canceling or adjusting</w:t>
            </w:r>
            <w:r w:rsidR="00224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on-essential in-person employee meetings and gatherings of </w:t>
            </w:r>
            <w:r w:rsidR="00E24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 more individuals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 the time being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Please work with staff </w:t>
            </w:r>
            <w:r w:rsidR="00B76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develop alternatives for conducting these meetings 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use good judgment when determining which meetings are essential.</w:t>
            </w:r>
          </w:p>
          <w:p w:rsidR="004E6BBD" w:rsidRDefault="00BC1A0F" w:rsidP="00E2480F">
            <w:pPr>
              <w:pStyle w:val="ListParagraph"/>
              <w:spacing w:before="100" w:beforeAutospacing="1" w:after="225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6BBD" w:rsidRPr="00E2480F" w:rsidRDefault="004E6BBD">
            <w:pPr>
              <w:pStyle w:val="ListParagraph"/>
              <w:numPr>
                <w:ilvl w:val="0"/>
                <w:numId w:val="19"/>
              </w:numPr>
              <w:spacing w:before="100" w:beforeAutospacing="1" w:after="22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Agencies should assess the need for conferences </w:t>
            </w:r>
            <w:r w:rsidR="006B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 large gatherings of 50 or more,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 whether alternative accommodations can be made to mitigate exposure.  If it is determined a conference is essential and cannot be delayed or conducted </w:t>
            </w:r>
            <w:r w:rsidR="00E24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 other means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24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refer to</w:t>
            </w:r>
            <w:r w:rsidR="00A26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local health authority </w:t>
            </w:r>
            <w:r w:rsidR="00A26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guidance 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strategies to mitigate exposure.  </w:t>
            </w:r>
          </w:p>
          <w:p w:rsidR="00BC1A0F" w:rsidRDefault="00BC1A0F" w:rsidP="00BC1A0F">
            <w:pPr>
              <w:pStyle w:val="ListParagraph"/>
              <w:spacing w:before="100" w:beforeAutospacing="1" w:after="225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80F" w:rsidRDefault="00B76B55" w:rsidP="00E2480F">
            <w:pPr>
              <w:pStyle w:val="ListParagraph"/>
              <w:numPr>
                <w:ilvl w:val="0"/>
                <w:numId w:val="19"/>
              </w:numPr>
              <w:spacing w:before="100" w:beforeAutospacing="1" w:after="22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 with staff to develop alternative</w:t>
            </w:r>
            <w:r w:rsidR="00E24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 conducting these meetings to minimize risk, including the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of</w:t>
            </w:r>
            <w:r w:rsidR="00BC1A0F" w:rsidRPr="00BC1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remote meeting technology. </w:t>
            </w:r>
          </w:p>
          <w:p w:rsidR="00E2480F" w:rsidRPr="00E2480F" w:rsidRDefault="00E2480F" w:rsidP="00E248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6BBD" w:rsidRPr="00BC1A0F" w:rsidRDefault="004E6BBD" w:rsidP="00B76B55">
            <w:pPr>
              <w:pStyle w:val="ListParagraph"/>
              <w:numPr>
                <w:ilvl w:val="0"/>
                <w:numId w:val="19"/>
              </w:numPr>
              <w:spacing w:before="100" w:beforeAutospacing="1" w:after="22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 any questions or concerns with the Open Public Meetings Act (OPMA)</w:t>
            </w:r>
            <w:r w:rsidR="00A26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seek legal advice from assigned AAG based on specific factual situations. </w:t>
            </w:r>
          </w:p>
        </w:tc>
      </w:tr>
    </w:tbl>
    <w:p w:rsidR="00B30256" w:rsidRPr="00BC1A0F" w:rsidRDefault="00B30256" w:rsidP="00C7123C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</w:p>
    <w:p w:rsidR="003312ED" w:rsidRPr="00BC1A0F" w:rsidRDefault="00056022" w:rsidP="00C7123C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 w:rsidRPr="00BC1A0F">
        <w:rPr>
          <w:rFonts w:ascii="Times New Roman" w:hAnsi="Times New Roman" w:cs="Times New Roman"/>
          <w:szCs w:val="24"/>
        </w:rPr>
        <w:t>Direction related to t</w:t>
      </w:r>
      <w:r w:rsidR="00C7123C" w:rsidRPr="00BC1A0F">
        <w:rPr>
          <w:rFonts w:ascii="Times New Roman" w:hAnsi="Times New Roman" w:cs="Times New Roman"/>
          <w:szCs w:val="24"/>
        </w:rPr>
        <w:t>ravel</w:t>
      </w:r>
    </w:p>
    <w:tbl>
      <w:tblPr>
        <w:tblStyle w:val="TipTable"/>
        <w:tblW w:w="5011" w:type="pct"/>
        <w:tblLook w:val="04A0" w:firstRow="1" w:lastRow="0" w:firstColumn="1" w:lastColumn="0" w:noHBand="0" w:noVBand="1"/>
        <w:tblDescription w:val="Layout table"/>
      </w:tblPr>
      <w:tblGrid>
        <w:gridCol w:w="9360"/>
        <w:gridCol w:w="21"/>
      </w:tblGrid>
      <w:tr w:rsidR="005D4DC9" w:rsidRPr="00BC1A0F" w:rsidTr="00C7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</w:tcPr>
          <w:p w:rsidR="00C7123C" w:rsidRPr="00BC1A0F" w:rsidRDefault="00C7123C" w:rsidP="00C712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All business travel to impacted areas on the CDC list Warning Levels 3 and 2 is cancelled</w:t>
            </w:r>
            <w:r w:rsidR="0022432B">
              <w:rPr>
                <w:rFonts w:ascii="Times New Roman" w:hAnsi="Times New Roman" w:cs="Times New Roman"/>
                <w:sz w:val="24"/>
                <w:szCs w:val="24"/>
              </w:rPr>
              <w:t xml:space="preserve">- click </w:t>
            </w:r>
            <w:hyperlink r:id="rId8" w:history="1">
              <w:r w:rsidR="0022432B" w:rsidRPr="002243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  <w:r w:rsidR="0022432B">
              <w:rPr>
                <w:rFonts w:ascii="Times New Roman" w:hAnsi="Times New Roman" w:cs="Times New Roman"/>
                <w:sz w:val="24"/>
                <w:szCs w:val="24"/>
              </w:rPr>
              <w:t xml:space="preserve"> to see CDC travel detail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. Exceptions must be approved at the Governor level.</w:t>
            </w:r>
          </w:p>
          <w:p w:rsidR="00C7123C" w:rsidRPr="00BC1A0F" w:rsidRDefault="00C7123C" w:rsidP="00C7123C">
            <w:pPr>
              <w:pStyle w:val="ListParagraph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3C" w:rsidRPr="00BC1A0F" w:rsidRDefault="00C7123C" w:rsidP="00C712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Limit all non-essential business travel. Essential travel is determined by Agency Directors.</w:t>
            </w:r>
          </w:p>
          <w:p w:rsidR="00C7123C" w:rsidRPr="00BC1A0F" w:rsidRDefault="00C7123C" w:rsidP="00C712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3C" w:rsidRPr="00BC1A0F" w:rsidRDefault="00C7123C" w:rsidP="00C7123C">
            <w:pPr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b/>
                <w:sz w:val="24"/>
                <w:szCs w:val="24"/>
              </w:rPr>
              <w:t>Agency Director Guidance</w:t>
            </w:r>
          </w:p>
          <w:p w:rsidR="00C7123C" w:rsidRPr="00BC1A0F" w:rsidRDefault="00C7123C" w:rsidP="00C7123C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When determining </w:t>
            </w:r>
            <w:r w:rsidR="00B76B55">
              <w:rPr>
                <w:rFonts w:ascii="Times New Roman" w:hAnsi="Times New Roman" w:cs="Times New Roman"/>
                <w:sz w:val="24"/>
                <w:szCs w:val="24"/>
              </w:rPr>
              <w:t>what is essential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 travel, </w:t>
            </w:r>
            <w:r w:rsidR="00BA62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gency </w:t>
            </w:r>
            <w:r w:rsidR="00BA62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irectors should consider several factors, including:</w:t>
            </w:r>
          </w:p>
          <w:p w:rsidR="00C7123C" w:rsidRPr="00BC1A0F" w:rsidRDefault="00C7123C" w:rsidP="00C712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Is the travel related to the Agency COOP,</w:t>
            </w:r>
          </w:p>
          <w:p w:rsidR="00C7123C" w:rsidRPr="00BC1A0F" w:rsidRDefault="00C7123C" w:rsidP="00C712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What is the destination and is it currently impacted,</w:t>
            </w:r>
          </w:p>
          <w:p w:rsidR="00C7123C" w:rsidRPr="00BC1A0F" w:rsidRDefault="00C7123C" w:rsidP="00C712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What is the mode of travel and does it involve movement through </w:t>
            </w:r>
            <w:r w:rsidR="00511164">
              <w:rPr>
                <w:rFonts w:ascii="Times New Roman" w:hAnsi="Times New Roman" w:cs="Times New Roman"/>
                <w:sz w:val="24"/>
                <w:szCs w:val="24"/>
              </w:rPr>
              <w:t xml:space="preserve">impacted areas described in the CDC link above. </w:t>
            </w:r>
          </w:p>
          <w:p w:rsidR="00C7123C" w:rsidRPr="00BC1A0F" w:rsidRDefault="00C7123C" w:rsidP="00C712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What is the mission, and does it take th</w:t>
            </w:r>
            <w:r w:rsidR="00511164">
              <w:rPr>
                <w:rFonts w:ascii="Times New Roman" w:hAnsi="Times New Roman" w:cs="Times New Roman"/>
                <w:sz w:val="24"/>
                <w:szCs w:val="24"/>
              </w:rPr>
              <w:t>e person into a higher exposure s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ituation (i.e. large conference)</w:t>
            </w:r>
          </w:p>
          <w:p w:rsidR="00C7123C" w:rsidRPr="00BC1A0F" w:rsidRDefault="00C7123C" w:rsidP="00C712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Are there alternative methods that can still accomplish the mission (Video Conference, remote access)</w:t>
            </w:r>
          </w:p>
          <w:p w:rsidR="005D4DC9" w:rsidRPr="00BC1A0F" w:rsidRDefault="005D4DC9" w:rsidP="00C712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" w:type="pct"/>
          </w:tcPr>
          <w:p w:rsidR="005D4DC9" w:rsidRPr="00BC1A0F" w:rsidRDefault="005D4DC9" w:rsidP="00C7123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ED" w:rsidRPr="00BC1A0F" w:rsidRDefault="003312ED">
      <w:pPr>
        <w:rPr>
          <w:rFonts w:ascii="Times New Roman" w:hAnsi="Times New Roman" w:cs="Times New Roman"/>
          <w:sz w:val="24"/>
          <w:szCs w:val="24"/>
        </w:rPr>
      </w:pPr>
    </w:p>
    <w:p w:rsidR="003312ED" w:rsidRPr="00BC1A0F" w:rsidRDefault="00C7123C" w:rsidP="00C7123C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 w:rsidRPr="00BC1A0F">
        <w:rPr>
          <w:rFonts w:ascii="Times New Roman" w:hAnsi="Times New Roman" w:cs="Times New Roman"/>
          <w:szCs w:val="24"/>
        </w:rPr>
        <w:lastRenderedPageBreak/>
        <w:t>Guidance when considering office closure</w:t>
      </w:r>
    </w:p>
    <w:tbl>
      <w:tblPr>
        <w:tblStyle w:val="TipTable"/>
        <w:tblW w:w="5011" w:type="pct"/>
        <w:tblLook w:val="04A0" w:firstRow="1" w:lastRow="0" w:firstColumn="1" w:lastColumn="0" w:noHBand="0" w:noVBand="1"/>
        <w:tblDescription w:val="Layout table"/>
      </w:tblPr>
      <w:tblGrid>
        <w:gridCol w:w="9360"/>
        <w:gridCol w:w="21"/>
      </w:tblGrid>
      <w:tr w:rsidR="005D4DC9" w:rsidRPr="00BC1A0F" w:rsidTr="00C7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</w:tcPr>
          <w:p w:rsidR="00C7123C" w:rsidRPr="00BC1A0F" w:rsidRDefault="00C7123C" w:rsidP="00B302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While we do not </w:t>
            </w:r>
            <w:r w:rsidR="00B76B55">
              <w:rPr>
                <w:rFonts w:ascii="Times New Roman" w:hAnsi="Times New Roman" w:cs="Times New Roman"/>
                <w:sz w:val="24"/>
                <w:szCs w:val="24"/>
              </w:rPr>
              <w:t xml:space="preserve">currently 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have any state office closures, we want to make sure you have guidance should your agency have the need to consider this step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ecision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on office closure are to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 be made in consultation with the Governor’s office. For offices housed with multiple agencies, impacted directors 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are to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 coordinate with each other </w:t>
            </w:r>
            <w:r w:rsidR="00EB085A">
              <w:rPr>
                <w:rFonts w:ascii="Times New Roman" w:hAnsi="Times New Roman" w:cs="Times New Roman"/>
                <w:sz w:val="24"/>
                <w:szCs w:val="24"/>
              </w:rPr>
              <w:t>prior to consulting with the Governor’s office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256" w:rsidRPr="00BC1A0F" w:rsidRDefault="00B30256" w:rsidP="00C712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3C" w:rsidRPr="00BC1A0F" w:rsidRDefault="00C7123C" w:rsidP="00B302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When determining whether to close an office, Agency Directors should consider several factors, including: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Impa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ct to the mission and public.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Risk to employe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es and public of remaining open.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Alternatives to continue effective operations (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remote location, telecommuting).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Span of impacted area or pote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ntial for further contamination.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Impact of closure </w:t>
            </w:r>
            <w:r w:rsidRPr="0051116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511164" w:rsidRPr="0051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 xml:space="preserve">employees and 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public.</w:t>
            </w:r>
          </w:p>
          <w:p w:rsidR="00C7123C" w:rsidRPr="00BC1A0F" w:rsidRDefault="00C7123C" w:rsidP="00B302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Ability to cond</w:t>
            </w:r>
            <w:r w:rsidR="003C3390">
              <w:rPr>
                <w:rFonts w:ascii="Times New Roman" w:hAnsi="Times New Roman" w:cs="Times New Roman"/>
                <w:sz w:val="24"/>
                <w:szCs w:val="24"/>
              </w:rPr>
              <w:t>uct a partial closure of office.</w:t>
            </w:r>
          </w:p>
          <w:p w:rsidR="00C7123C" w:rsidRPr="003C3390" w:rsidRDefault="00C7123C" w:rsidP="00C7123C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0F">
              <w:rPr>
                <w:rFonts w:ascii="Times New Roman" w:hAnsi="Times New Roman" w:cs="Times New Roman"/>
                <w:sz w:val="24"/>
                <w:szCs w:val="24"/>
              </w:rPr>
              <w:t>DOH, CDC, OSHA guidelines.</w:t>
            </w:r>
          </w:p>
          <w:p w:rsidR="00C7123C" w:rsidRPr="00BC1A0F" w:rsidRDefault="00C7123C" w:rsidP="0076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" w:type="pct"/>
          </w:tcPr>
          <w:p w:rsidR="005D4DC9" w:rsidRPr="00BC1A0F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ED" w:rsidRPr="00BC1A0F" w:rsidRDefault="003312ED">
      <w:pPr>
        <w:rPr>
          <w:rFonts w:ascii="Times New Roman" w:hAnsi="Times New Roman" w:cs="Times New Roman"/>
          <w:sz w:val="24"/>
          <w:szCs w:val="24"/>
        </w:rPr>
      </w:pPr>
    </w:p>
    <w:p w:rsidR="003312ED" w:rsidRPr="00BC1A0F" w:rsidRDefault="003312ED">
      <w:pPr>
        <w:rPr>
          <w:rFonts w:ascii="Times New Roman" w:hAnsi="Times New Roman" w:cs="Times New Roman"/>
          <w:sz w:val="24"/>
          <w:szCs w:val="24"/>
        </w:rPr>
      </w:pPr>
    </w:p>
    <w:p w:rsidR="003312ED" w:rsidRPr="00BC1A0F" w:rsidRDefault="00CE0D3E" w:rsidP="00DD68DD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should our organization </w:t>
      </w:r>
      <w:r w:rsidR="00EC69A9">
        <w:rPr>
          <w:rFonts w:ascii="Times New Roman" w:hAnsi="Times New Roman" w:cs="Times New Roman"/>
          <w:szCs w:val="24"/>
        </w:rPr>
        <w:t>navigate questions on possible exposure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1"/>
        <w:gridCol w:w="9339"/>
      </w:tblGrid>
      <w:tr w:rsidR="005D4DC9" w:rsidRPr="00BC1A0F" w:rsidTr="00EC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5D4DC9" w:rsidRPr="00BC1A0F" w:rsidRDefault="005D4DC9" w:rsidP="0076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pct"/>
          </w:tcPr>
          <w:p w:rsidR="005C02F8" w:rsidRDefault="005C02F8" w:rsidP="005C02F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The steps an organization should take when an employee reports a possible exposure to COVID-19 </w:t>
            </w:r>
            <w:r w:rsidR="00102350">
              <w:rPr>
                <w:rFonts w:ascii="Times New Roman" w:hAnsi="Times New Roman" w:cs="Times New Roman"/>
                <w:i w:val="0"/>
                <w:sz w:val="24"/>
                <w:szCs w:val="24"/>
              </w:rPr>
              <w:t>will depend upon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the specific circumstances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yet employers </w:t>
            </w:r>
            <w:r w:rsidR="00BA62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are asked to 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>err o</w:t>
            </w:r>
            <w:bookmarkStart w:id="0" w:name="_GoBack"/>
            <w:r w:rsidR="00BA6220">
              <w:rPr>
                <w:rFonts w:ascii="Times New Roman" w:hAnsi="Times New Roman" w:cs="Times New Roman"/>
                <w:i w:val="0"/>
                <w:sz w:val="24"/>
                <w:szCs w:val="24"/>
              </w:rPr>
              <w:t>n the</w:t>
            </w:r>
            <w:bookmarkEnd w:id="0"/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side of caution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EF1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When preparing for navigating issues related to exposure, please follow the steps below: </w:t>
            </w:r>
          </w:p>
          <w:p w:rsidR="004762E2" w:rsidRDefault="005C02F8" w:rsidP="004762E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62E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get familiar with existing CDC </w:t>
            </w:r>
            <w:r w:rsidR="009D3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risk assessment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resources. These resources should be reviewed immediately. The first link provides details on the factors and customary CDC interventions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organization should take- click </w:t>
            </w:r>
            <w:hyperlink r:id="rId9" w:history="1">
              <w:r w:rsidRPr="005C02F8">
                <w:rPr>
                  <w:rStyle w:val="Hyperlink"/>
                  <w:rFonts w:ascii="Times New Roman" w:hAnsi="Times New Roman" w:cs="Times New Roman"/>
                  <w:i w:val="0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to review the document. The second link is decision matrix to help assess the appropriate employer interventions</w:t>
            </w:r>
            <w:r w:rsidR="004762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click </w:t>
            </w:r>
            <w:hyperlink r:id="rId10" w:history="1">
              <w:r w:rsidR="004762E2" w:rsidRPr="004762E2">
                <w:rPr>
                  <w:rStyle w:val="Hyperlink"/>
                  <w:rFonts w:ascii="Times New Roman" w:hAnsi="Times New Roman" w:cs="Times New Roman"/>
                  <w:i w:val="0"/>
                  <w:sz w:val="24"/>
                  <w:szCs w:val="24"/>
                </w:rPr>
                <w:t>here</w:t>
              </w:r>
            </w:hyperlink>
            <w:r w:rsidR="004762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to review the decision matrix. </w:t>
            </w:r>
            <w:r w:rsidR="00102350">
              <w:rPr>
                <w:rFonts w:ascii="Times New Roman" w:hAnsi="Times New Roman" w:cs="Times New Roman"/>
                <w:i w:val="0"/>
                <w:sz w:val="24"/>
                <w:szCs w:val="24"/>
              </w:rPr>
              <w:t>Information in</w:t>
            </w:r>
            <w:r w:rsidR="004762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E6BBD">
              <w:rPr>
                <w:rFonts w:ascii="Times New Roman" w:hAnsi="Times New Roman" w:cs="Times New Roman"/>
                <w:i w:val="0"/>
                <w:sz w:val="24"/>
                <w:szCs w:val="24"/>
              </w:rPr>
              <w:t>these documents</w:t>
            </w:r>
            <w:r w:rsidR="004762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will assist with providing some detail on the factors and possible employer interventions. </w:t>
            </w:r>
          </w:p>
          <w:p w:rsidR="005D4DC9" w:rsidRDefault="004762E2" w:rsidP="004762E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62E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consult with your local health jurisdiction to assess next steps- click </w:t>
            </w:r>
            <w:hyperlink r:id="rId11" w:history="1">
              <w:r w:rsidRPr="004762E2">
                <w:rPr>
                  <w:rStyle w:val="Hyperlink"/>
                  <w:rFonts w:ascii="Times New Roman" w:hAnsi="Times New Roman" w:cs="Times New Roman"/>
                  <w:i w:val="0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to view contacts for local health jurisdictions.  </w:t>
            </w:r>
            <w:r w:rsidR="005C02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:rsidR="004762E2" w:rsidRDefault="004762E2" w:rsidP="00F50BF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Third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>based on the advice of the local health jurisdiction, take appropriate action, if any.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If the 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employee is directed to </w:t>
            </w:r>
            <w:r w:rsidR="00A26BC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stay 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>away from the workplace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>, take steps to determine if remote work is an option while the employee is away from the office and able to work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>If the employee is unable to work remotely, explore leave options for the employee.</w:t>
            </w:r>
            <w:r w:rsid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A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gencies </w:t>
            </w:r>
            <w:r w:rsidR="00F50BF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should administer leave in accordance with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the employee leave provisions of their applicable collective bargaining agreement or civil service rules. </w:t>
            </w:r>
            <w:r w:rsidR="00964ED6" w:rsidRP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We are in the process of developing statewide guidance on the </w:t>
            </w:r>
            <w:r w:rsid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>use</w:t>
            </w:r>
            <w:r w:rsidR="00964ED6" w:rsidRP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of leave</w:t>
            </w:r>
            <w:r w:rsid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854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D3510" w:rsidRPr="009D3510" w:rsidRDefault="009D3510" w:rsidP="00964E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if working with an employee confirmed to have COVID-19 infection, </w:t>
            </w:r>
            <w:r w:rsidR="00964ED6">
              <w:rPr>
                <w:rFonts w:ascii="Times New Roman" w:hAnsi="Times New Roman" w:cs="Times New Roman"/>
                <w:i w:val="0"/>
                <w:sz w:val="24"/>
                <w:szCs w:val="24"/>
              </w:rPr>
              <w:t>agencies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should inform employees of their possible exposure in the workplace but maintain confidentiality as required by the Americans with Disabilities Act.  </w:t>
            </w:r>
          </w:p>
        </w:tc>
      </w:tr>
    </w:tbl>
    <w:p w:rsidR="009D3510" w:rsidRDefault="009D3510" w:rsidP="008D6D77">
      <w:pPr>
        <w:rPr>
          <w:rFonts w:ascii="Times New Roman" w:hAnsi="Times New Roman" w:cs="Times New Roman"/>
          <w:sz w:val="24"/>
          <w:szCs w:val="24"/>
        </w:rPr>
      </w:pPr>
    </w:p>
    <w:p w:rsidR="00A854C1" w:rsidRPr="00BC1A0F" w:rsidRDefault="00A854C1" w:rsidP="00A854C1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 employee resources</w:t>
      </w:r>
    </w:p>
    <w:tbl>
      <w:tblPr>
        <w:tblStyle w:val="TipTable"/>
        <w:tblW w:w="5011" w:type="pct"/>
        <w:tblLook w:val="04A0" w:firstRow="1" w:lastRow="0" w:firstColumn="1" w:lastColumn="0" w:noHBand="0" w:noVBand="1"/>
        <w:tblDescription w:val="Layout table"/>
      </w:tblPr>
      <w:tblGrid>
        <w:gridCol w:w="9360"/>
        <w:gridCol w:w="21"/>
      </w:tblGrid>
      <w:tr w:rsidR="00A854C1" w:rsidRPr="00BC1A0F" w:rsidTr="00CE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</w:tcPr>
          <w:p w:rsidR="00A854C1" w:rsidRDefault="00A854C1" w:rsidP="00A854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Employee Assistance Program (EAP) with the Department of Enterprise Services has put together a resource document to assist with coping with stress during a disease outbreak. Click </w:t>
            </w:r>
            <w:hyperlink r:id="rId12" w:history="1">
              <w:r w:rsidRPr="00A854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see this document. </w:t>
            </w:r>
          </w:p>
          <w:p w:rsidR="00A854C1" w:rsidRDefault="00A854C1" w:rsidP="00A8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C1" w:rsidRPr="003C3390" w:rsidRDefault="00A854C1" w:rsidP="003C33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EAP also have staff on hand to assist with any other workplace concerns, click </w:t>
            </w:r>
            <w:hyperlink r:id="rId13" w:history="1">
              <w:r w:rsidRPr="00A854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view the EAP program offerings. </w:t>
            </w:r>
          </w:p>
          <w:p w:rsidR="00A854C1" w:rsidRPr="00A854C1" w:rsidRDefault="00A854C1" w:rsidP="00A8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" w:type="pct"/>
          </w:tcPr>
          <w:p w:rsidR="00A854C1" w:rsidRPr="00BC1A0F" w:rsidRDefault="00A854C1" w:rsidP="00CE789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C1" w:rsidRPr="00BC1A0F" w:rsidRDefault="00A854C1" w:rsidP="008D6D77">
      <w:pPr>
        <w:rPr>
          <w:rFonts w:ascii="Times New Roman" w:hAnsi="Times New Roman" w:cs="Times New Roman"/>
          <w:sz w:val="24"/>
          <w:szCs w:val="24"/>
        </w:rPr>
      </w:pPr>
    </w:p>
    <w:sectPr w:rsidR="00A854C1" w:rsidRPr="00BC1A0F">
      <w:footerReference w:type="defaul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69AF9" w16cid:durableId="220B44B5"/>
  <w16cid:commentId w16cid:paraId="65C3F555" w16cid:durableId="220B44B6"/>
  <w16cid:commentId w16cid:paraId="29A7A488" w16cid:durableId="220B44B7"/>
  <w16cid:commentId w16cid:paraId="1F5FC967" w16cid:durableId="220B44B8"/>
  <w16cid:commentId w16cid:paraId="38BE3FA6" w16cid:durableId="220B44B9"/>
  <w16cid:commentId w16cid:paraId="759C84DD" w16cid:durableId="220B44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12" w:rsidRDefault="00150C12">
      <w:pPr>
        <w:spacing w:after="0" w:line="240" w:lineRule="auto"/>
      </w:pPr>
      <w:r>
        <w:separator/>
      </w:r>
    </w:p>
  </w:endnote>
  <w:endnote w:type="continuationSeparator" w:id="0">
    <w:p w:rsidR="00150C12" w:rsidRDefault="001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1F250B">
      <w:t>3</w:t>
    </w:r>
    <w:r w:rsidRPr="001E042A">
      <w:fldChar w:fldCharType="end"/>
    </w:r>
    <w:r w:rsidR="00E2480F">
      <w:t xml:space="preserve"> </w:t>
    </w:r>
    <w:r w:rsidR="00E2480F">
      <w:tab/>
    </w:r>
  </w:p>
  <w:p w:rsidR="00E2480F" w:rsidRPr="00E2480F" w:rsidRDefault="00E2480F" w:rsidP="001E042A">
    <w:pPr>
      <w:pStyle w:val="Footer"/>
      <w:rPr>
        <w:b/>
      </w:rPr>
    </w:pPr>
    <w:r w:rsidRPr="00E2480F">
      <w:rPr>
        <w:b/>
      </w:rPr>
      <w:t>Last updated</w:t>
    </w:r>
    <w:r>
      <w:rPr>
        <w:b/>
      </w:rPr>
      <w:t xml:space="preserve"> March 5, 2020</w:t>
    </w:r>
    <w:r w:rsidRPr="00E2480F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12" w:rsidRDefault="00150C12">
      <w:pPr>
        <w:spacing w:after="0" w:line="240" w:lineRule="auto"/>
      </w:pPr>
      <w:r>
        <w:separator/>
      </w:r>
    </w:p>
  </w:footnote>
  <w:footnote w:type="continuationSeparator" w:id="0">
    <w:p w:rsidR="00150C12" w:rsidRDefault="001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2EC1"/>
    <w:multiLevelType w:val="hybridMultilevel"/>
    <w:tmpl w:val="EA16D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C5E32"/>
    <w:multiLevelType w:val="hybridMultilevel"/>
    <w:tmpl w:val="93EC7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512E053A"/>
    <w:multiLevelType w:val="multilevel"/>
    <w:tmpl w:val="515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6" w15:restartNumberingAfterBreak="0">
    <w:nsid w:val="699F5200"/>
    <w:multiLevelType w:val="hybridMultilevel"/>
    <w:tmpl w:val="24AC6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C7FB0"/>
    <w:multiLevelType w:val="hybridMultilevel"/>
    <w:tmpl w:val="8D48A7A6"/>
    <w:lvl w:ilvl="0" w:tplc="E22A0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1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3C"/>
    <w:rsid w:val="00056022"/>
    <w:rsid w:val="00083B37"/>
    <w:rsid w:val="000A0612"/>
    <w:rsid w:val="00102350"/>
    <w:rsid w:val="00150C12"/>
    <w:rsid w:val="001A728E"/>
    <w:rsid w:val="001E042A"/>
    <w:rsid w:val="001F250B"/>
    <w:rsid w:val="0022432B"/>
    <w:rsid w:val="00225505"/>
    <w:rsid w:val="003312ED"/>
    <w:rsid w:val="003C3390"/>
    <w:rsid w:val="003F154D"/>
    <w:rsid w:val="004018C1"/>
    <w:rsid w:val="004727F4"/>
    <w:rsid w:val="004762E2"/>
    <w:rsid w:val="004A0A8D"/>
    <w:rsid w:val="004C517F"/>
    <w:rsid w:val="004E6BBD"/>
    <w:rsid w:val="00511164"/>
    <w:rsid w:val="00552696"/>
    <w:rsid w:val="00555C1C"/>
    <w:rsid w:val="00575B92"/>
    <w:rsid w:val="005B0FC3"/>
    <w:rsid w:val="005C02F8"/>
    <w:rsid w:val="005D4DC9"/>
    <w:rsid w:val="005F7999"/>
    <w:rsid w:val="00615B0E"/>
    <w:rsid w:val="00626EDA"/>
    <w:rsid w:val="006B4FA0"/>
    <w:rsid w:val="006D7FF8"/>
    <w:rsid w:val="00704472"/>
    <w:rsid w:val="00791457"/>
    <w:rsid w:val="007D5981"/>
    <w:rsid w:val="007F097F"/>
    <w:rsid w:val="007F372E"/>
    <w:rsid w:val="008D5E06"/>
    <w:rsid w:val="008D6D77"/>
    <w:rsid w:val="00924F12"/>
    <w:rsid w:val="00954BFF"/>
    <w:rsid w:val="00964ED6"/>
    <w:rsid w:val="009D3510"/>
    <w:rsid w:val="00A26BC0"/>
    <w:rsid w:val="00A726B4"/>
    <w:rsid w:val="00A854C1"/>
    <w:rsid w:val="00AA316B"/>
    <w:rsid w:val="00B30256"/>
    <w:rsid w:val="00B76B55"/>
    <w:rsid w:val="00BA6220"/>
    <w:rsid w:val="00BB5428"/>
    <w:rsid w:val="00BC1A0F"/>
    <w:rsid w:val="00BC1FD2"/>
    <w:rsid w:val="00C555D4"/>
    <w:rsid w:val="00C7123C"/>
    <w:rsid w:val="00C92C41"/>
    <w:rsid w:val="00CE0D3E"/>
    <w:rsid w:val="00D34668"/>
    <w:rsid w:val="00D57E3E"/>
    <w:rsid w:val="00DB24CB"/>
    <w:rsid w:val="00DD3A94"/>
    <w:rsid w:val="00DD68DD"/>
    <w:rsid w:val="00DF5013"/>
    <w:rsid w:val="00E2480F"/>
    <w:rsid w:val="00E9640A"/>
    <w:rsid w:val="00EB085A"/>
    <w:rsid w:val="00EC69A9"/>
    <w:rsid w:val="00EF1D05"/>
    <w:rsid w:val="00F1586E"/>
    <w:rsid w:val="00F50BF1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821F81-F63D-4FFC-A8EC-FA1BAEF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7123C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F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F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13" Type="http://schemas.openxmlformats.org/officeDocument/2006/relationships/hyperlink" Target="https://des.wa.gov/services/hr-finance/washington-state-employee-assistance-program-eap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dc.gov/nonpharmaceutical-interventions/tools-resources/educational-materials.html" TargetMode="External"/><Relationship Id="rId12" Type="http://schemas.openxmlformats.org/officeDocument/2006/relationships/hyperlink" Target="https://des.wa.gov/sites/default/files/public/documents/More%20DOP%20Services/EAP/Handouts/Coping%20with%20a%20Disease%20Outbreak.pdf?=4fb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h.wa.gov/AboutUs/PublicHealthSystem/LocalHealthJurisdic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downloads/public-health-management-decision-mak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hp/risk-assessment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lin.plaistowe@ofm.wa.gov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4</Pages>
  <Words>1112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Plaistowe, Franklin (OFM)</dc:creator>
  <cp:lastModifiedBy>Plaistowe, Franklin (OFM)</cp:lastModifiedBy>
  <cp:revision>2</cp:revision>
  <dcterms:created xsi:type="dcterms:W3CDTF">2020-03-05T21:43:00Z</dcterms:created>
  <dcterms:modified xsi:type="dcterms:W3CDTF">2020-03-05T21:43:00Z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